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jc w:val="center"/>
        <w:spacing w:after="0" w:afterAutospacing="0" w:before="0" w:beforeAutospacing="0" w:line="645" w:lineRule="atLeast"/>
        <w:rPr>
          <w:rFonts w:ascii="맑은 고딕" w:eastAsia="맑은 고딕" w:hAnsi="맑은 고딕"/>
          <w:b/>
          <w:bCs/>
          <w:sz w:val="32"/>
          <w:szCs w:val="32"/>
        </w:rPr>
      </w:pPr>
      <w:r>
        <w:rPr>
          <w:rFonts w:ascii="맑은 고딕" w:eastAsia="맑은 고딕" w:hAnsi="맑은 고딕" w:hint="eastAsia"/>
          <w:b/>
          <w:bCs/>
          <w:sz w:val="32"/>
          <w:szCs w:val="32"/>
        </w:rPr>
        <w:t>효성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C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MS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자동결제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신청서</w:t>
      </w:r>
    </w:p>
    <w:p>
      <w:pPr>
        <w:pStyle w:val="a3"/>
        <w:jc w:val="right"/>
        <w:spacing w:after="0" w:afterAutospacing="0" w:before="0" w:beforeAutospacing="0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  <w:bCs/>
          <w:sz w:val="14"/>
          <w:szCs w:val="32"/>
        </w:rPr>
        <w:t>금융기관 및 결제대행사(효성에프엠에스㈜) 제출용</w:t>
      </w:r>
    </w:p>
    <w:p>
      <w:pPr>
        <w:pStyle w:val="hs1"/>
        <w:spacing w:after="100" w:line="240" w:lineRule="auto"/>
        <w:rPr>
          <w:rFonts w:ascii="맑은 고딕" w:eastAsia="맑은 고딕" w:hAnsi="맑은 고딕"/>
          <w:sz w:val="14"/>
          <w:szCs w:val="14"/>
        </w:rPr>
      </w:pPr>
      <w:r>
        <w:rPr>
          <w:rFonts w:ascii="맑은 고딕" w:eastAsia="맑은 고딕" w:hAnsi="맑은 고딕" w:hint="eastAsia"/>
          <w:b/>
          <w:color w:val="auto"/>
        </w:rPr>
        <w:t>◈ 수납</w:t>
      </w:r>
      <w:r>
        <w:rPr>
          <w:rFonts w:ascii="맑은 고딕" w:eastAsia="맑은 고딕" w:hAnsi="맑은 고딕" w:hint="eastAsia"/>
          <w:b/>
          <w:color w:val="auto"/>
        </w:rPr>
        <w:t>업체</w:t>
      </w:r>
      <w:r>
        <w:rPr>
          <w:rFonts w:ascii="맑은 고딕" w:eastAsia="맑은 고딕" w:hAnsi="맑은 고딕" w:hint="eastAsia"/>
          <w:b/>
          <w:color w:val="auto"/>
        </w:rPr>
        <w:t> 및 </w:t>
      </w:r>
      <w:r>
        <w:rPr>
          <w:rFonts w:ascii="맑은 고딕" w:eastAsia="맑은 고딕" w:hAnsi="맑은 고딕" w:hint="eastAsia"/>
          <w:b/>
          <w:color w:val="auto"/>
        </w:rPr>
        <w:t>목적</w:t>
      </w:r>
      <w:r>
        <w:rPr>
          <w:rFonts w:ascii="맑은 고딕" w:eastAsia="맑은 고딕" w:hAnsi="맑은 고딕" w:hint="eastAsia"/>
          <w:b/>
          <w:color w:val="auto"/>
        </w:rPr>
        <w:t xml:space="preserve"> </w:t>
      </w:r>
      <w:r>
        <w:rPr>
          <w:rFonts w:ascii="맑은 고딕" w:eastAsia="맑은 고딕" w:hAnsi="맑은 고딕" w:hint="eastAsia"/>
          <w:sz w:val="14"/>
          <w:szCs w:val="14"/>
        </w:rPr>
        <w:t>(수납</w:t>
      </w:r>
      <w:r>
        <w:rPr>
          <w:rFonts w:ascii="맑은 고딕" w:eastAsia="맑은 고딕" w:hAnsi="맑은 고딕" w:hint="eastAsia"/>
          <w:sz w:val="14"/>
          <w:szCs w:val="14"/>
        </w:rPr>
        <w:t>업체</w:t>
      </w:r>
      <w:r>
        <w:rPr>
          <w:rFonts w:ascii="맑은 고딕" w:eastAsia="맑은 고딕" w:hAnsi="맑은 고딕" w:hint="eastAsia"/>
          <w:sz w:val="14"/>
          <w:szCs w:val="14"/>
        </w:rPr>
        <w:t xml:space="preserve"> 기재란)</w:t>
      </w:r>
    </w:p>
    <w:tbl>
      <w:tblPr>
        <w:tblW w:w="1018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3114"/>
        <w:gridCol w:w="1933"/>
        <w:gridCol w:w="3302"/>
      </w:tblGrid>
      <w:tr>
        <w:trPr>
          <w:trHeight w:val="482" w:hRule="atLeast"/>
        </w:trPr>
        <w:tc>
          <w:tcPr>
            <w:tcW w:w="1840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수납업체</w:t>
            </w:r>
          </w:p>
        </w:tc>
        <w:tc>
          <w:tcPr>
            <w:tcW w:w="3114" w:type="dxa"/>
            <w:shd w:val="clear" w:color="auto" w:fill="auto"/>
            <w:vAlign w:val="center"/>
          </w:tcPr>
          <w:p>
            <w:pPr>
              <w:pStyle w:val="hs1"/>
              <w:jc w:val="center"/>
              <w:spacing w:line="240" w:lineRule="exact"/>
              <w:rPr>
                <w:rFonts w:ascii="맑은 고딕" w:eastAsia="맑은 고딕" w:hAnsi="맑은 고딕"/>
                <w:b/>
                <w:color w:val="auto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</w:rPr>
              <w:t>지리산노인요양원</w:t>
            </w:r>
          </w:p>
        </w:tc>
        <w:tc>
          <w:tcPr>
            <w:tcW w:w="1933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수납 목적</w:t>
            </w:r>
          </w:p>
        </w:tc>
        <w:tc>
          <w:tcPr>
            <w:tcW w:w="3302" w:type="dxa"/>
            <w:shd w:val="clear" w:color="auto" w:fill="auto"/>
            <w:vAlign w:val="center"/>
          </w:tcPr>
          <w:p>
            <w:pPr>
              <w:pStyle w:val="hs1"/>
              <w:jc w:val="center"/>
              <w:spacing w:line="240" w:lineRule="exact"/>
              <w:rPr>
                <w:rFonts w:ascii="맑은 고딕" w:eastAsia="맑은 고딕" w:hAnsi="맑은 고딕"/>
                <w:b/>
                <w:color w:val="auto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</w:rPr>
              <w:t>본인부담금 납부</w:t>
            </w:r>
          </w:p>
        </w:tc>
      </w:tr>
      <w:tr>
        <w:trPr>
          <w:trHeight w:val="482" w:hRule="atLeast"/>
        </w:trPr>
        <w:tc>
          <w:tcPr>
            <w:tcW w:w="1840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대표자</w:t>
            </w:r>
          </w:p>
        </w:tc>
        <w:tc>
          <w:tcPr>
            <w:tcW w:w="3114" w:type="dxa"/>
            <w:shd w:val="clear" w:color="auto" w:fill="auto"/>
            <w:vAlign w:val="center"/>
          </w:tcPr>
          <w:p>
            <w:pPr>
              <w:pStyle w:val="hs1"/>
              <w:jc w:val="center"/>
              <w:spacing w:line="240" w:lineRule="exact"/>
              <w:rPr>
                <w:rFonts w:ascii="맑은 고딕" w:eastAsia="맑은 고딕" w:hAnsi="맑은 고딕"/>
                <w:b/>
                <w:color w:val="auto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</w:rPr>
              <w:t>조 재 호</w:t>
            </w:r>
          </w:p>
        </w:tc>
        <w:tc>
          <w:tcPr>
            <w:tcW w:w="1933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사업자등록번호</w:t>
            </w:r>
          </w:p>
        </w:tc>
        <w:tc>
          <w:tcPr>
            <w:tcW w:w="3302" w:type="dxa"/>
            <w:shd w:val="clear" w:color="auto" w:fill="auto"/>
            <w:vAlign w:val="center"/>
          </w:tcPr>
          <w:p>
            <w:pPr>
              <w:pStyle w:val="hs1"/>
              <w:jc w:val="center"/>
              <w:spacing w:line="240" w:lineRule="exact"/>
              <w:rPr>
                <w:rFonts w:ascii="맑은 고딕" w:eastAsia="맑은 고딕" w:hAnsi="맑은 고딕"/>
                <w:b/>
                <w:color w:val="auto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</w:rPr>
              <w:t>611-82-07134</w:t>
            </w:r>
          </w:p>
        </w:tc>
      </w:tr>
      <w:tr>
        <w:trPr>
          <w:trHeight w:val="482" w:hRule="atLeast"/>
        </w:trPr>
        <w:tc>
          <w:tcPr>
            <w:tcW w:w="1840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주소</w:t>
            </w:r>
          </w:p>
        </w:tc>
        <w:tc>
          <w:tcPr>
            <w:tcW w:w="8349" w:type="dxa"/>
            <w:gridSpan w:val="3"/>
            <w:shd w:val="clear" w:color="auto" w:fill="auto"/>
            <w:vAlign w:val="center"/>
          </w:tcPr>
          <w:p>
            <w:pPr>
              <w:pStyle w:val="hs1"/>
              <w:jc w:val="center"/>
              <w:spacing w:line="240" w:lineRule="exact"/>
              <w:rPr>
                <w:rFonts w:ascii="맑은 고딕" w:eastAsia="맑은 고딕" w:hAnsi="맑은 고딕"/>
                <w:b/>
                <w:color w:val="auto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</w:rPr>
              <w:t xml:space="preserve">경남 함양군 </w:t>
            </w:r>
            <w:r>
              <w:rPr>
                <w:rFonts w:ascii="맑은 고딕" w:eastAsia="맑은 고딕" w:hAnsi="맑은 고딕" w:hint="eastAsia"/>
                <w:b/>
                <w:color w:val="auto"/>
              </w:rPr>
              <w:t>유림면</w:t>
            </w:r>
            <w:r>
              <w:rPr>
                <w:rFonts w:ascii="맑은 고딕" w:eastAsia="맑은 고딕" w:hAnsi="맑은 고딕" w:hint="eastAsia"/>
                <w:b/>
                <w:color w:val="auto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color w:val="auto"/>
              </w:rPr>
              <w:t>천왕봉로</w:t>
            </w:r>
            <w:r>
              <w:rPr>
                <w:rFonts w:ascii="맑은 고딕" w:eastAsia="맑은 고딕" w:hAnsi="맑은 고딕" w:hint="eastAsia"/>
                <w:b/>
                <w:color w:val="auto"/>
              </w:rPr>
              <w:t xml:space="preserve"> 2877-17</w:t>
            </w:r>
          </w:p>
        </w:tc>
      </w:tr>
    </w:tbl>
    <w:p>
      <w:pPr>
        <w:pStyle w:val="hs1"/>
        <w:spacing w:line="240" w:lineRule="exact"/>
        <w:rPr>
          <w:rFonts w:ascii="맑은 고딕" w:eastAsia="맑은 고딕" w:hAnsi="맑은 고딕"/>
          <w:b/>
          <w:color w:val="auto"/>
        </w:rPr>
      </w:pPr>
    </w:p>
    <w:p>
      <w:pPr>
        <w:spacing w:after="100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 xml:space="preserve">◈ </w:t>
      </w:r>
      <w:r>
        <w:rPr>
          <w:rFonts w:ascii="맑은 고딕" w:eastAsia="맑은 고딕" w:hAnsi="맑은 고딕" w:hint="eastAsia"/>
          <w:b/>
        </w:rPr>
        <w:t>자동결제</w:t>
      </w:r>
      <w:r>
        <w:rPr>
          <w:rFonts w:ascii="맑은 고딕" w:eastAsia="맑은 고딕" w:hAnsi="맑은 고딕" w:hint="eastAsia"/>
          <w:b/>
        </w:rPr>
        <w:t xml:space="preserve"> 신청내용</w:t>
      </w:r>
      <w:r>
        <w:rPr>
          <w:rFonts w:ascii="맑은 고딕" w:eastAsia="맑은 고딕" w:hAnsi="맑은 고딕" w:hint="eastAsia"/>
          <w:b/>
        </w:rPr>
        <w:t xml:space="preserve"> </w:t>
      </w:r>
      <w:r>
        <w:rPr>
          <w:rFonts w:ascii="맑은 고딕" w:eastAsia="맑은 고딕" w:hAnsi="맑은 고딕" w:hint="eastAsia"/>
          <w:sz w:val="14"/>
          <w:szCs w:val="14"/>
        </w:rPr>
        <w:t>(</w:t>
      </w:r>
      <w:r>
        <w:rPr>
          <w:rFonts w:ascii="맑은 고딕" w:eastAsia="맑은 고딕" w:hAnsi="맑은 고딕" w:hint="eastAsia"/>
          <w:sz w:val="14"/>
          <w:szCs w:val="14"/>
        </w:rPr>
        <w:t>신청고객</w:t>
      </w:r>
      <w:r>
        <w:rPr>
          <w:rFonts w:ascii="맑은 고딕" w:eastAsia="맑은 고딕" w:hAnsi="맑은 고딕" w:hint="eastAsia"/>
          <w:sz w:val="14"/>
          <w:szCs w:val="14"/>
        </w:rPr>
        <w:t xml:space="preserve"> 기재란)</w:t>
      </w:r>
    </w:p>
    <w:tbl>
      <w:tblPr>
        <w:tblW w:w="1022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  <w:tblCellMar>
          <w:left w:w="130" w:type="dxa"/>
          <w:right w:w="130" w:type="dxa"/>
        </w:tblCellMar>
      </w:tblPr>
      <w:tblGrid>
        <w:gridCol w:w="472"/>
        <w:gridCol w:w="1393"/>
        <w:gridCol w:w="3119"/>
        <w:gridCol w:w="1925"/>
        <w:gridCol w:w="3319"/>
      </w:tblGrid>
      <w:tr>
        <w:trPr>
          <w:trHeight w:val="720" w:hRule="atLeast"/>
        </w:trPr>
        <w:tc>
          <w:tcPr>
            <w:tcW w:w="472" w:type="dxa"/>
            <w:vMerge w:val="restart"/>
            <w:shd w:val="clear" w:color="auto" w:fill="DBE5F1"/>
            <w:vAlign w:val="center"/>
          </w:tcPr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신청정보</w:t>
            </w:r>
          </w:p>
        </w:tc>
        <w:tc>
          <w:tcPr>
            <w:tcW w:w="1393" w:type="dxa"/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신청인</w:t>
            </w:r>
          </w:p>
        </w:tc>
        <w:tc>
          <w:tcPr>
            <w:tcW w:w="3119" w:type="dxa"/>
            <w:vAlign w:val="center"/>
          </w:tcPr>
          <w:p>
            <w:pPr>
              <w:jc w:val="right"/>
              <w:spacing w:line="240" w:lineRule="exact"/>
              <w:rPr>
                <w:rFonts w:ascii="나눔손글씨 펜" w:eastAsia="나눔손글씨 펜" w:hAnsi="나눔손글씨 펜"/>
                <w:color w:val="0000FF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12"/>
              </w:rPr>
              <w:t>예금주와</w:t>
            </w:r>
            <w:r>
              <w:rPr>
                <w:rFonts w:ascii="맑은 고딕" w:eastAsia="맑은 고딕" w:hAnsi="맑은 고딕" w:hint="eastAsia"/>
                <w:sz w:val="12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2"/>
              </w:rPr>
              <w:t>관계</w:t>
            </w:r>
            <w:r>
              <w:rPr>
                <w:rFonts w:ascii="맑은 고딕" w:eastAsia="맑은 고딕" w:hAnsi="맑은 고딕" w:hint="eastAsia"/>
                <w:sz w:val="12"/>
              </w:rPr>
              <w:t xml:space="preserve"> :</w:t>
            </w:r>
            <w:r>
              <w:rPr>
                <w:rFonts w:ascii="맑은 고딕" w:eastAsia="맑은 고딕" w:hAnsi="맑은 고딕" w:hint="eastAsia"/>
                <w:sz w:val="12"/>
              </w:rPr>
              <w:t xml:space="preserve"> (    </w:t>
            </w:r>
            <w:r>
              <w:rPr>
                <w:rFonts w:ascii="맑은 고딕" w:eastAsia="맑은 고딕" w:hAnsi="맑은 고딕" w:hint="eastAsia"/>
                <w:sz w:val="12"/>
              </w:rPr>
              <w:t xml:space="preserve">  </w:t>
            </w:r>
            <w:r>
              <w:rPr>
                <w:rFonts w:ascii="맑은 고딕" w:eastAsia="맑은 고딕" w:hAnsi="맑은 고딕" w:hint="eastAsia"/>
                <w:sz w:val="12"/>
              </w:rPr>
              <w:t xml:space="preserve">   )</w:t>
            </w:r>
          </w:p>
        </w:tc>
        <w:tc>
          <w:tcPr>
            <w:tcW w:w="1925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연락처</w:t>
            </w:r>
          </w:p>
        </w:tc>
        <w:tc>
          <w:tcPr>
            <w:tcW w:w="3319" w:type="dxa"/>
            <w:vAlign w:val="center"/>
          </w:tcPr>
          <w:p>
            <w:pPr>
              <w:jc w:val="center"/>
              <w:rPr>
                <w:rFonts w:ascii="나눔손글씨 펜" w:eastAsia="나눔손글씨 펜" w:hAnsi="나눔손글씨 펜"/>
                <w:color w:val="0000FF"/>
                <w:sz w:val="26"/>
                <w:szCs w:val="26"/>
              </w:rPr>
            </w:pPr>
          </w:p>
        </w:tc>
      </w:tr>
      <w:tr>
        <w:trPr>
          <w:trHeight w:val="720" w:hRule="atLeast"/>
        </w:trPr>
        <w:tc>
          <w:tcPr>
            <w:tcW w:w="472" w:type="dxa"/>
            <w:vMerge w:val="continue"/>
            <w:shd w:val="clear" w:color="auto" w:fill="DBE5F1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93" w:type="dxa"/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납부금액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spacing w:line="240" w:lineRule="exact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 xml:space="preserve">□ 고정금액 </w:t>
            </w:r>
            <w:r>
              <w:rPr>
                <w:rFonts w:ascii="맑은 고딕" w:eastAsia="맑은 고딕" w:hAnsi="맑은 고딕" w:hint="eastAsia"/>
                <w:sz w:val="18"/>
              </w:rPr>
              <w:t xml:space="preserve">( </w:t>
            </w:r>
            <w:r>
              <w:rPr>
                <w:rFonts w:ascii="맑은 고딕" w:eastAsia="맑은 고딕" w:hAnsi="맑은 고딕" w:hint="eastAsia"/>
                <w:sz w:val="18"/>
                <w:u w:val="single" w:color="auto"/>
              </w:rPr>
              <w:t xml:space="preserve">        </w:t>
            </w:r>
            <w:r>
              <w:rPr>
                <w:rFonts w:ascii="맑은 고딕" w:eastAsia="맑은 고딕" w:hAnsi="맑은 고딕" w:hint="eastAsia"/>
                <w:sz w:val="18"/>
                <w:u w:val="single" w:color="auto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18"/>
                <w:u w:val="single" w:color="auto"/>
              </w:rPr>
              <w:t xml:space="preserve">    </w:t>
            </w:r>
            <w:r>
              <w:rPr>
                <w:rFonts w:ascii="맑은 고딕" w:eastAsia="맑은 고딕" w:hAnsi="맑은 고딕" w:hint="eastAsia"/>
                <w:sz w:val="18"/>
              </w:rPr>
              <w:t>원</w:t>
            </w:r>
            <w:r>
              <w:rPr>
                <w:rFonts w:ascii="맑은 고딕" w:eastAsia="맑은 고딕" w:hAnsi="맑은 고딕" w:hint="eastAsia"/>
                <w:sz w:val="18"/>
              </w:rPr>
              <w:t>)</w:t>
            </w:r>
          </w:p>
          <w:p>
            <w:pPr>
              <w:jc w:val="left"/>
              <w:spacing w:line="240" w:lineRule="exact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>□ 변동(추가 계약내용에 따름)</w:t>
            </w:r>
          </w:p>
        </w:tc>
        <w:tc>
          <w:tcPr>
            <w:tcW w:w="1925" w:type="dxa"/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납부</w:t>
            </w:r>
            <w:r>
              <w:rPr>
                <w:rFonts w:ascii="맑은 고딕" w:eastAsia="맑은 고딕" w:hAnsi="맑은 고딕" w:hint="eastAsia"/>
                <w:b/>
              </w:rPr>
              <w:t>일</w:t>
            </w:r>
          </w:p>
        </w:tc>
        <w:tc>
          <w:tcPr>
            <w:tcW w:w="3319" w:type="dxa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매월 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  </w:t>
            </w:r>
            <w:r>
              <w:rPr>
                <w:lang w:eastAsia="ko-KR"/>
                <w:rFonts w:ascii="맑은 고딕" w:eastAsia="맑은 고딕" w:hAnsi="맑은 고딕" w:hint="eastAsia"/>
                <w:b/>
                <w:bCs/>
                <w:u w:val="single" w:color="auto"/>
                <w:rtl w:val="off"/>
              </w:rPr>
              <w:t>20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   </w:t>
            </w:r>
            <w:r>
              <w:rPr>
                <w:rFonts w:ascii="맑은 고딕" w:eastAsia="맑은 고딕" w:hAnsi="맑은 고딕" w:hint="eastAsia"/>
              </w:rPr>
              <w:t>일</w:t>
            </w:r>
          </w:p>
          <w:p>
            <w:pPr>
              <w:jc w:val="distribute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*미납시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  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</w:t>
            </w:r>
            <w:r>
              <w:rPr>
                <w:rFonts w:ascii="나눔손글씨 펜" w:eastAsia="나눔손글씨 펜" w:hAnsi="나눔손글씨 펜" w:hint="eastAsia"/>
                <w:sz w:val="22"/>
                <w:szCs w:val="22"/>
                <w:u w:val="single" w:color="auto"/>
              </w:rPr>
              <w:t xml:space="preserve">  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재출금</w:t>
            </w:r>
          </w:p>
        </w:tc>
      </w:tr>
      <w:tr>
        <w:trPr>
          <w:trHeight w:val="720" w:hRule="atLeast"/>
        </w:trPr>
        <w:tc>
          <w:tcPr>
            <w:tcW w:w="472" w:type="dxa"/>
            <w:vMerge w:val="restart"/>
            <w:shd w:val="clear" w:color="auto" w:fill="DBE5F1"/>
            <w:vAlign w:val="center"/>
          </w:tcPr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금융</w:t>
            </w:r>
          </w:p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거래정보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은행명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>
            <w:pPr>
              <w:jc w:val="left"/>
              <w:spacing w:line="240" w:lineRule="exac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예금주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>
        <w:trPr>
          <w:trHeight w:val="720" w:hRule="atLeast"/>
        </w:trPr>
        <w:tc>
          <w:tcPr>
            <w:tcW w:w="472" w:type="dxa"/>
            <w:vMerge w:val="continue"/>
            <w:shd w:val="clear" w:color="auto" w:fill="DBE5F1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계좌번호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spacing w:line="240" w:lineRule="exact"/>
              <w:rPr>
                <w:rFonts w:ascii="맑은 고딕" w:eastAsia="맑은 고딕" w:hAnsi="맑은 고딕"/>
                <w:sz w:val="48"/>
                <w:szCs w:val="12"/>
              </w:rPr>
            </w:pPr>
            <w:r>
              <w:rPr>
                <w:rFonts w:ascii="맑은 고딕" w:eastAsia="맑은 고딕" w:hAnsi="맑은 고딕" w:hint="eastAsia"/>
                <w:noProof/>
                <w:sz w:val="48"/>
                <w:szCs w:val="12"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57728" allowOverlap="1" hidden="0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48895</wp:posOffset>
                      </wp:positionV>
                      <wp:extent cx="5166360" cy="1297305"/>
                      <wp:effectExtent l="8255" t="3175" r="3175" b="3174"/>
                      <wp:wrapNone/>
                      <wp:docPr id="1025" name="shape1025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66360" cy="1297305"/>
                                <a:chOff x="2829" y="6508"/>
                                <a:chExt cx="8136" cy="2043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829" y="6514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3346" y="6517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3863" y="6520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4381" y="650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4898" y="6514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5415" y="6517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5933" y="6520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6450" y="6523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6967" y="6526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485" y="6529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1" name="child 11"/>
                              <wps:cNvSpPr>
                                <a:spLocks/>
                              </wps:cNvSpPr>
                              <wps:spPr>
                                <a:xfrm>
                                  <a:off x="8002" y="6532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2" name="child 12"/>
                              <wps:cNvSpPr>
                                <a:spLocks/>
                              </wps:cNvSpPr>
                              <wps:spPr>
                                <a:xfrm>
                                  <a:off x="8519" y="6520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3" name="child 13"/>
                              <wps:cNvSpPr>
                                <a:spLocks/>
                              </wps:cNvSpPr>
                              <wps:spPr>
                                <a:xfrm>
                                  <a:off x="9036" y="6523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4" name="child 14"/>
                              <wps:cNvSpPr>
                                <a:spLocks/>
                              </wps:cNvSpPr>
                              <wps:spPr>
                                <a:xfrm>
                                  <a:off x="9554" y="6526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5" name="child 15"/>
                              <wps:cNvSpPr>
                                <a:spLocks/>
                              </wps:cNvSpPr>
                              <wps:spPr>
                                <a:xfrm>
                                  <a:off x="10071" y="6529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6" name="child 16"/>
                              <wps:cNvSpPr>
                                <a:spLocks/>
                              </wps:cNvSpPr>
                              <wps:spPr>
                                <a:xfrm>
                                  <a:off x="10588" y="6532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7" name="child 17"/>
                              <wps:cNvSpPr>
                                <a:spLocks/>
                              </wps:cNvSpPr>
                              <wps:spPr>
                                <a:xfrm>
                                  <a:off x="2831" y="7262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8" name="child 18"/>
                              <wps:cNvSpPr>
                                <a:spLocks/>
                              </wps:cNvSpPr>
                              <wps:spPr>
                                <a:xfrm>
                                  <a:off x="3348" y="7265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19" name="child 19"/>
                              <wps:cNvSpPr>
                                <a:spLocks/>
                              </wps:cNvSpPr>
                              <wps:spPr>
                                <a:xfrm>
                                  <a:off x="3866" y="726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0" name="child 20"/>
                              <wps:cNvSpPr>
                                <a:spLocks/>
                              </wps:cNvSpPr>
                              <wps:spPr>
                                <a:xfrm>
                                  <a:off x="4383" y="7256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1" name="child 21"/>
                              <wps:cNvSpPr>
                                <a:spLocks/>
                              </wps:cNvSpPr>
                              <wps:spPr>
                                <a:xfrm>
                                  <a:off x="4900" y="7262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2" name="child 22"/>
                              <wps:cNvSpPr>
                                <a:spLocks/>
                              </wps:cNvSpPr>
                              <wps:spPr>
                                <a:xfrm>
                                  <a:off x="5417" y="7265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3" name="child 23"/>
                              <wps:cNvSpPr>
                                <a:spLocks/>
                              </wps:cNvSpPr>
                              <wps:spPr>
                                <a:xfrm>
                                  <a:off x="5935" y="726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4" name="child 24"/>
                              <wps:cNvSpPr>
                                <a:spLocks/>
                              </wps:cNvSpPr>
                              <wps:spPr>
                                <a:xfrm>
                                  <a:off x="6452" y="7271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5" name="child 25"/>
                              <wps:cNvSpPr>
                                <a:spLocks/>
                              </wps:cNvSpPr>
                              <wps:spPr>
                                <a:xfrm>
                                  <a:off x="6969" y="7274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6" name="child 26"/>
                              <wps:cNvSpPr>
                                <a:spLocks/>
                              </wps:cNvSpPr>
                              <wps:spPr>
                                <a:xfrm>
                                  <a:off x="7487" y="7277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7" name="child 27"/>
                              <wps:cNvSpPr>
                                <a:spLocks/>
                              </wps:cNvSpPr>
                              <wps:spPr>
                                <a:xfrm>
                                  <a:off x="2832" y="7985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8" name="child 28"/>
                              <wps:cNvSpPr>
                                <a:spLocks/>
                              </wps:cNvSpPr>
                              <wps:spPr>
                                <a:xfrm>
                                  <a:off x="3349" y="798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29" name="child 29"/>
                              <wps:cNvSpPr>
                                <a:spLocks/>
                              </wps:cNvSpPr>
                              <wps:spPr>
                                <a:xfrm>
                                  <a:off x="3867" y="7991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0" name="child 30"/>
                              <wps:cNvSpPr>
                                <a:spLocks/>
                              </wps:cNvSpPr>
                              <wps:spPr>
                                <a:xfrm>
                                  <a:off x="4406" y="8234"/>
                                  <a:ext cx="1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1" name="child 31"/>
                              <wps:cNvSpPr>
                                <a:spLocks/>
                              </wps:cNvSpPr>
                              <wps:spPr>
                                <a:xfrm>
                                  <a:off x="4722" y="798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2" name="child 32"/>
                              <wps:cNvSpPr>
                                <a:spLocks/>
                              </wps:cNvSpPr>
                              <wps:spPr>
                                <a:xfrm>
                                  <a:off x="5239" y="7991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3" name="child 33"/>
                              <wps:cNvSpPr>
                                <a:spLocks/>
                              </wps:cNvSpPr>
                              <wps:spPr>
                                <a:xfrm>
                                  <a:off x="5756" y="7993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4" name="child 34"/>
                              <wps:cNvSpPr>
                                <a:spLocks/>
                              </wps:cNvSpPr>
                              <wps:spPr>
                                <a:xfrm>
                                  <a:off x="6274" y="7997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5" name="child 35"/>
                              <wps:cNvSpPr>
                                <a:spLocks/>
                              </wps:cNvSpPr>
                              <wps:spPr>
                                <a:xfrm>
                                  <a:off x="6794" y="8248"/>
                                  <a:ext cx="1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6" name="child 36"/>
                              <wps:cNvSpPr>
                                <a:spLocks/>
                              </wps:cNvSpPr>
                              <wps:spPr>
                                <a:xfrm>
                                  <a:off x="7110" y="8002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7" name="child 37"/>
                              <wps:cNvSpPr>
                                <a:spLocks/>
                              </wps:cNvSpPr>
                              <wps:spPr>
                                <a:xfrm>
                                  <a:off x="7627" y="8005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8" name="child 38"/>
                              <wps:cNvSpPr>
                                <a:spLocks/>
                              </wps:cNvSpPr>
                              <wps:spPr>
                                <a:xfrm>
                                  <a:off x="8144" y="8008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39" name="child 39"/>
                              <wps:cNvSpPr>
                                <a:spLocks/>
                              </wps:cNvSpPr>
                              <wps:spPr>
                                <a:xfrm>
                                  <a:off x="8662" y="8011"/>
                                  <a:ext cx="377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8pt;margin-top:3.85pt;width:406.8pt;height:102.15pt;mso-position-horizontal-relative:column;mso-position-vertical-relative:page;z-index:251657728" coordorigin="2829,6508" coordsize="8136,2043">
                      <v:rect id="1026" style="position:absolute;left:2829;top:6514;width:377;height:540" filled="t" fillcolor="#ffffff" stroked="t" strokecolor="#0" strokeweight="0.5pt">
                        <v:stroke/>
                      </v:rect>
                      <v:rect id="1027" style="position:absolute;left:3346;top:6517;width:377;height:540" filled="t" fillcolor="#ffffff" stroked="t" strokecolor="#0" strokeweight="0.5pt">
                        <v:stroke/>
                      </v:rect>
                      <v:rect id="1028" style="position:absolute;left:3864;top:6520;width:377;height:540" filled="t" fillcolor="#ffffff" stroked="t" strokecolor="#0" strokeweight="0.5pt">
                        <v:stroke/>
                      </v:rect>
                      <v:rect id="1029" style="position:absolute;left:4381;top:6508;width:377;height:540" filled="t" fillcolor="#ffffff" stroked="t" strokecolor="#0" strokeweight="0.5pt">
                        <v:stroke/>
                      </v:rect>
                      <v:rect id="1030" style="position:absolute;left:4898;top:6514;width:377;height:540" filled="t" fillcolor="#ffffff" stroked="t" strokecolor="#0" strokeweight="0.5pt">
                        <v:stroke/>
                      </v:rect>
                      <v:rect id="1031" style="position:absolute;left:5415;top:6517;width:377;height:540" filled="t" fillcolor="#ffffff" stroked="t" strokecolor="#0" strokeweight="0.5pt">
                        <v:stroke/>
                      </v:rect>
                      <v:rect id="1032" style="position:absolute;left:5933;top:6520;width:377;height:540" filled="t" fillcolor="#ffffff" stroked="t" strokecolor="#0" strokeweight="0.5pt">
                        <v:stroke/>
                      </v:rect>
                      <v:rect id="1033" style="position:absolute;left:6450;top:6523;width:377;height:540" filled="t" fillcolor="#ffffff" stroked="t" strokecolor="#0" strokeweight="0.5pt">
                        <v:stroke/>
                      </v:rect>
                      <v:rect id="1034" style="position:absolute;left:6967;top:6526;width:377;height:540" filled="t" fillcolor="#ffffff" stroked="t" strokecolor="#0" strokeweight="0.5pt">
                        <v:stroke/>
                      </v:rect>
                      <v:rect id="1035" style="position:absolute;left:7485;top:6529;width:377;height:540" filled="t" fillcolor="#ffffff" stroked="t" strokecolor="#0" strokeweight="0.5pt">
                        <v:stroke/>
                      </v:rect>
                      <v:rect id="1036" style="position:absolute;left:8002;top:6532;width:377;height:540" filled="t" fillcolor="#ffffff" stroked="t" strokecolor="#0" strokeweight="0.5pt">
                        <v:stroke/>
                      </v:rect>
                      <v:rect id="1037" style="position:absolute;left:8519;top:6520;width:377;height:540" filled="t" fillcolor="#ffffff" stroked="t" strokecolor="#0" strokeweight="0.5pt">
                        <v:stroke/>
                      </v:rect>
                      <v:rect id="1038" style="position:absolute;left:9036;top:6523;width:377;height:540" filled="t" fillcolor="#ffffff" stroked="t" strokecolor="#0" strokeweight="0.5pt">
                        <v:stroke/>
                      </v:rect>
                      <v:rect id="1039" style="position:absolute;left:9554;top:6526;width:377;height:540" filled="t" fillcolor="#ffffff" stroked="t" strokecolor="#0" strokeweight="0.5pt">
                        <v:stroke/>
                      </v:rect>
                      <v:rect id="1040" style="position:absolute;left:10071;top:6529;width:377;height:540" filled="t" fillcolor="#ffffff" stroked="t" strokecolor="#0" strokeweight="0.5pt">
                        <v:stroke/>
                      </v:rect>
                      <v:rect id="1041" style="position:absolute;left:10588;top:6532;width:377;height:540" filled="t" fillcolor="#ffffff" stroked="t" strokecolor="#0" strokeweight="0.5pt">
                        <v:stroke/>
                      </v:rect>
                      <v:rect id="1042" style="position:absolute;left:2831;top:7262;width:377;height:540" filled="t" fillcolor="#ffffff" stroked="t" strokecolor="#0" strokeweight="1.5pt">
                        <v:stroke/>
                      </v:rect>
                      <v:rect id="1043" style="position:absolute;left:3348;top:7265;width:377;height:540" filled="t" fillcolor="#ffffff" stroked="t" strokecolor="#0" strokeweight="1.5pt">
                        <v:stroke/>
                      </v:rect>
                      <v:rect id="1044" style="position:absolute;left:3866;top:7268;width:377;height:540" filled="t" fillcolor="#ffffff" stroked="t" strokecolor="#0" strokeweight="1.5pt">
                        <v:stroke/>
                      </v:rect>
                      <v:rect id="1045" style="position:absolute;left:4383;top:7256;width:377;height:540" filled="t" fillcolor="#ffffff" stroked="t" strokecolor="#0" strokeweight="1.5pt">
                        <v:stroke/>
                      </v:rect>
                      <v:rect id="1046" style="position:absolute;left:4900;top:7262;width:377;height:540" filled="t" fillcolor="#ffffff" stroked="t" strokecolor="#0" strokeweight="1.5pt">
                        <v:stroke/>
                      </v:rect>
                      <v:rect id="1047" style="position:absolute;left:5417;top:7265;width:377;height:540" filled="t" fillcolor="#ffffff" stroked="t" strokecolor="#0" strokeweight="1.5pt">
                        <v:stroke/>
                      </v:rect>
                      <v:rect id="1048" style="position:absolute;left:5935;top:7268;width:377;height:540" filled="t" fillcolor="#ffffff" stroked="t" strokecolor="#0" strokeweight="0.5pt">
                        <v:stroke/>
                      </v:rect>
                      <v:rect id="1049" style="position:absolute;left:6452;top:7271;width:377;height:540" filled="t" fillcolor="#ffffff" stroked="t" strokecolor="#0" strokeweight="0.5pt">
                        <v:stroke/>
                      </v:rect>
                      <v:rect id="1050" style="position:absolute;left:6969;top:7274;width:377;height:540" filled="t" fillcolor="#ffffff" stroked="t" strokecolor="#0" strokeweight="0.5pt">
                        <v:stroke/>
                      </v:rect>
                      <v:rect id="1051" style="position:absolute;left:7487;top:7277;width:377;height:540" filled="t" fillcolor="#ffffff" stroked="t" strokecolor="#0" strokeweight="0.5pt">
                        <v:stroke/>
                      </v:rect>
                      <v:rect id="1052" style="position:absolute;left:2832;top:7985;width:377;height:540" filled="t" fillcolor="#ffffff" stroked="t" strokecolor="#0" strokeweight="0.5pt">
                        <v:stroke/>
                      </v:rect>
                      <v:rect id="1053" style="position:absolute;left:3349;top:7988;width:377;height:540" filled="t" fillcolor="#ffffff" stroked="t" strokecolor="#0" strokeweight="0.5pt">
                        <v:stroke/>
                      </v:rect>
                      <v:rect id="1054" style="position:absolute;left:3867;top:7991;width:377;height:540" filled="t" fillcolor="#ffffff" stroked="t" strokecolor="#0" strokeweight="0.5pt">
                        <v:stroke/>
                      </v:rect>
                      <v:shapetype coordsize="21600, 21600" path="m0,0l21600,21600e"/>
                      <v:shape id="1055" type="#_x0000_t32" o:spt="32" style="position:absolute;left:4406;top:8234;width:150;height:0" coordsize="21600, 21600" filled="f" fillcolor="#ffffff" stroked="t" strokecolor="#0" strokeweight="0.75pt">
                        <v:stroke joinstyle="round"/>
                      </v:shape>
                      <v:rect id="1056" style="position:absolute;left:4722;top:7988;width:377;height:540" filled="t" fillcolor="#ffffff" stroked="t" strokecolor="#0" strokeweight="0.5pt">
                        <v:stroke/>
                      </v:rect>
                      <v:rect id="1057" style="position:absolute;left:5239;top:7991;width:377;height:540" filled="t" fillcolor="#ffffff" stroked="t" strokecolor="#0" strokeweight="0.5pt">
                        <v:stroke/>
                      </v:rect>
                      <v:rect id="1058" style="position:absolute;left:5756;top:7994;width:377;height:540" filled="t" fillcolor="#ffffff" stroked="t" strokecolor="#0" strokeweight="0.5pt">
                        <v:stroke/>
                      </v:rect>
                      <v:rect id="1059" style="position:absolute;left:6274;top:7997;width:377;height:540" filled="t" fillcolor="#ffffff" stroked="t" strokecolor="#0" strokeweight="0.5pt">
                        <v:stroke/>
                      </v:rect>
                      <v:shapetype coordsize="21600, 21600" path="m0,0l21600,21600e"/>
                      <v:shape id="1060" type="#_x0000_t32" o:spt="32" style="position:absolute;left:6794;top:8248;width:150;height:0" coordsize="21600, 21600" filled="f" fillcolor="#ffffff" stroked="t" strokecolor="#0" strokeweight="0.75pt">
                        <v:stroke joinstyle="round"/>
                      </v:shape>
                      <v:rect id="1061" style="position:absolute;left:7110;top:8002;width:377;height:540" filled="t" fillcolor="#ffffff" stroked="t" strokecolor="#0" strokeweight="0.5pt">
                        <v:stroke/>
                      </v:rect>
                      <v:rect id="1062" style="position:absolute;left:7627;top:8005;width:377;height:540" filled="t" fillcolor="#ffffff" stroked="t" strokecolor="#0" strokeweight="0.5pt">
                        <v:stroke/>
                      </v:rect>
                      <v:rect id="1063" style="position:absolute;left:8144;top:8008;width:377;height:540" filled="t" fillcolor="#ffffff" stroked="t" strokecolor="#0" strokeweight="0.5pt">
                        <v:stroke/>
                      </v:rect>
                      <v:rect id="1064" style="position:absolute;left:8662;top:8011;width:377;height:540" filled="t" fillcolor="#ffffff" stroked="t" strokecolor="#0" strokeweight="0.5pt">
                        <v:stroke/>
                      </v:rect>
                    </v:group>
                  </w:pict>
                </mc:Fallback>
              </mc:AlternateContent>
            </w:r>
          </w:p>
        </w:tc>
      </w:tr>
      <w:tr>
        <w:trPr>
          <w:trHeight w:val="720" w:hRule="atLeast"/>
        </w:trPr>
        <w:tc>
          <w:tcPr>
            <w:tcW w:w="472" w:type="dxa"/>
            <w:vMerge w:val="continue"/>
            <w:shd w:val="clear" w:color="auto" w:fill="DBE5F1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예금주생년월일</w:t>
            </w:r>
          </w:p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  <w:sz w:val="12"/>
              </w:rPr>
              <w:t xml:space="preserve">(또는 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>사업자등록번호)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ind w:firstLineChars="4300" w:firstLine="5160"/>
              <w:jc w:val="right"/>
              <w:spacing w:line="240" w:lineRule="exact"/>
              <w:rPr>
                <w:rFonts w:ascii="맑은 고딕" w:eastAsia="맑은 고딕" w:hAnsi="맑은 고딕"/>
                <w:sz w:val="12"/>
                <w:szCs w:val="12"/>
              </w:rPr>
            </w:pP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※ 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>개인 :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주민등록상 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>생년월일 6자리(ex : 840510)</w:t>
            </w:r>
          </w:p>
          <w:p>
            <w:pPr>
              <w:ind w:firstLineChars="4300" w:firstLine="5160"/>
              <w:jc w:val="right"/>
              <w:spacing w:line="240" w:lineRule="exact"/>
              <w:rPr>
                <w:rFonts w:ascii="맑은 고딕" w:eastAsia="맑은 고딕" w:hAnsi="맑은 고딕"/>
                <w:color w:val="A6A6A6"/>
                <w:sz w:val="12"/>
                <w:szCs w:val="12"/>
              </w:rPr>
            </w:pP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※ 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>법인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 :</w:t>
            </w:r>
            <w:r>
              <w:rPr>
                <w:rFonts w:ascii="맑은 고딕" w:eastAsia="맑은 고딕" w:hAnsi="맑은 고딕" w:hint="eastAsia"/>
                <w:sz w:val="12"/>
                <w:szCs w:val="12"/>
              </w:rPr>
              <w:t xml:space="preserve"> 사업자등록번호 10자리 (ex : 1208711000)</w:t>
            </w:r>
          </w:p>
        </w:tc>
      </w:tr>
      <w:tr>
        <w:trPr>
          <w:trHeight w:val="720" w:hRule="atLeast"/>
        </w:trPr>
        <w:tc>
          <w:tcPr>
            <w:tcW w:w="472" w:type="dxa"/>
            <w:vMerge w:val="continue"/>
            <w:tcBorders>
              <w:bottom w:val="single" w:sz="4" w:space="0" w:color="auto"/>
            </w:tcBorders>
            <w:shd w:val="clear" w:color="auto" w:fill="DBE5F1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예금주</w:t>
            </w:r>
          </w:p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휴대</w:t>
            </w:r>
            <w:r>
              <w:rPr>
                <w:rFonts w:ascii="맑은 고딕" w:eastAsia="맑은 고딕" w:hAnsi="맑은 고딕" w:hint="eastAsia"/>
                <w:b/>
              </w:rPr>
              <w:t>전화</w:t>
            </w:r>
            <w:r>
              <w:rPr>
                <w:rFonts w:ascii="맑은 고딕" w:eastAsia="맑은 고딕" w:hAnsi="맑은 고딕" w:hint="eastAsia"/>
                <w:b/>
              </w:rPr>
              <w:t>번호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spacing w:line="240" w:lineRule="exac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84" w:hRule="atLeast"/>
        </w:trPr>
        <w:tc>
          <w:tcPr>
            <w:tcW w:w="472" w:type="dxa"/>
            <w:vMerge w:val="restart"/>
            <w:shd w:val="clear" w:color="auto" w:fill="DBE5F1"/>
            <w:vAlign w:val="center"/>
          </w:tcPr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개인정보</w:t>
            </w:r>
          </w:p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  <w:p>
            <w:pPr>
              <w:jc w:val="center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활용동의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개인정보 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수집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및</w:t>
            </w:r>
          </w:p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이용동의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wordWrap/>
              <w:jc w:val="center"/>
              <w:spacing w:before="60" w:line="200" w:lineRule="exact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b/>
                <w:sz w:val="14"/>
                <w:szCs w:val="14"/>
              </w:rPr>
              <w:t>◇ 개인정보 수집 및 이용 동의 ◇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수집 및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이용목적 :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효성CMS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를 통한 요금 수납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수집항목 :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성명, 생년월일, 연락처, 은행명, 예금주명, 계좌번호, 예금주 휴대전화번호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보유 및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이용기간 :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수집/이용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동의일부터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종료일(해지일)까지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신청자는 개인정보의 수집 및 이용</w:t>
            </w:r>
            <w:r>
              <w:rPr>
                <w:rFonts w:ascii="맑은 고딕" w:eastAsia="맑은 고딕" w:hAnsi="맑은 고딕"/>
                <w:color w:val="auto"/>
                <w:sz w:val="14"/>
                <w:szCs w:val="14"/>
              </w:rPr>
              <w:t>을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거부할 수 있습니다. 단, 거부 시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신청이 처리되지 않습니다. </w:t>
            </w:r>
          </w:p>
          <w:p>
            <w:pPr>
              <w:pStyle w:val="hs1"/>
              <w:ind w:left="12"/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</w:p>
          <w:p>
            <w:pPr>
              <w:pStyle w:val="hs1"/>
              <w:jc w:val="right"/>
              <w:spacing w:line="200" w:lineRule="exact"/>
              <w:rPr>
                <w:rFonts w:ascii="맑은 고딕" w:eastAsia="맑은 고딕" w:hAnsi="맑은 고딕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b/>
                <w:color w:val="auto"/>
                <w:sz w:val="16"/>
                <w:szCs w:val="14"/>
              </w:rPr>
              <w:t xml:space="preserve">동의함 </w:t>
            </w:r>
            <w:r>
              <w:rPr>
                <w:rFonts w:ascii="맑은 고딕" w:eastAsia="맑은 고딕" w:hAnsi="맑은 고딕" w:hint="eastAsia"/>
                <w:b/>
                <w:color w:val="auto"/>
                <w:sz w:val="16"/>
                <w:szCs w:val="14"/>
              </w:rPr>
              <w:sym w:font="Wingdings 2" w:char="F0A3"/>
            </w:r>
            <w:r>
              <w:rPr>
                <w:rFonts w:ascii="맑은 고딕" w:eastAsia="맑은 고딕" w:hAnsi="맑은 고딕" w:hint="eastAsia"/>
                <w:b/>
                <w:color w:val="auto"/>
                <w:sz w:val="16"/>
                <w:szCs w:val="14"/>
              </w:rPr>
              <w:t xml:space="preserve">      동의하지</w:t>
            </w:r>
            <w:r>
              <w:rPr>
                <w:rFonts w:ascii="맑은 고딕" w:eastAsia="맑은 고딕" w:hAnsi="맑은 고딕" w:hint="eastAsia"/>
                <w:b/>
                <w:color w:val="auto"/>
                <w:sz w:val="16"/>
                <w:szCs w:val="14"/>
              </w:rPr>
              <w:t xml:space="preserve"> 않음 </w:t>
            </w:r>
            <w:r>
              <w:rPr>
                <w:rFonts w:ascii="맑은 고딕" w:eastAsia="맑은 고딕" w:hAnsi="맑은 고딕" w:hint="eastAsia"/>
                <w:b/>
                <w:color w:val="auto"/>
                <w:sz w:val="16"/>
                <w:szCs w:val="14"/>
              </w:rPr>
              <w:sym w:font="Wingdings 2" w:char="F0A3"/>
            </w:r>
          </w:p>
        </w:tc>
      </w:tr>
      <w:tr>
        <w:trPr>
          <w:trHeight w:val="484" w:hRule="atLeast"/>
        </w:trPr>
        <w:tc>
          <w:tcPr>
            <w:tcW w:w="472" w:type="dxa"/>
            <w:vMerge w:val="continue"/>
            <w:tcBorders>
              <w:bottom w:val="single" w:sz="4" w:space="0" w:color="auto"/>
            </w:tcBorders>
            <w:shd w:val="clear" w:color="auto" w:fill="DBE5F1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DBE5F1"/>
            <w:tcMar>
              <w:left w:w="57" w:type="dxa"/>
              <w:right w:w="57" w:type="dxa"/>
            </w:tcMar>
            <w:vAlign w:val="center"/>
          </w:tcPr>
          <w:p>
            <w:pPr>
              <w:jc w:val="distribute"/>
              <w:tabs>
                <w:tab w:val="center" w:pos="792"/>
              </w:tabs>
              <w:spacing w:line="240" w:lineRule="exac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개인정보 제3자 제공동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의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wordWrap/>
              <w:jc w:val="center"/>
              <w:spacing w:before="60" w:line="200" w:lineRule="exact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b/>
                <w:sz w:val="14"/>
                <w:szCs w:val="14"/>
              </w:rPr>
              <w:t>◇ 개인정보 제3자 제공 동의 ◇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개인정보를 제공받는 자: 효성에프엠에스</w:t>
            </w:r>
            <w:r>
              <w:rPr>
                <w:rFonts w:ascii="맑은 고딕" w:eastAsia="맑은 고딕" w:hAnsi="맑은 고딕"/>
                <w:color w:val="auto"/>
                <w:sz w:val="14"/>
                <w:szCs w:val="14"/>
              </w:rPr>
              <w:t>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, 금융기관(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하단 신청가능은행 참조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), 통신사(SKT, KT LGU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+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,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LG헬로비전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)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등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,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자세한 내용은 홈페이지 게시(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fldChar w:fldCharType="begin"/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instrText xml:space="preserve"> HYPERLINK "http://www.hyosungfms.com" </w:instrTex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fldChar w:fldCharType="separate"/>
            </w:r>
            <w:r>
              <w:rPr>
                <w:rStyle w:val="ac"/>
                <w:rFonts w:ascii="맑은 고딕" w:eastAsia="맑은 고딕" w:hAnsi="맑은 고딕" w:hint="eastAsia"/>
                <w:sz w:val="14"/>
                <w:szCs w:val="14"/>
              </w:rPr>
              <w:t>www.</w:t>
            </w:r>
            <w:r>
              <w:rPr>
                <w:rStyle w:val="ac"/>
                <w:rFonts w:ascii="맑은 고딕" w:eastAsia="맑은 고딕" w:hAnsi="맑은 고딕"/>
                <w:sz w:val="14"/>
                <w:szCs w:val="14"/>
              </w:rPr>
              <w:t>hyosungfms.com</w:t>
            </w:r>
            <w:r>
              <w:rPr>
                <w:rStyle w:val="ac"/>
                <w:rFonts w:ascii="맑은 고딕" w:eastAsia="맑은 고딕" w:hAnsi="맑은 고딕"/>
                <w:sz w:val="14"/>
                <w:szCs w:val="14"/>
              </w:rPr>
              <w:fldChar w:fldCharType="end"/>
            </w:r>
            <w:r>
              <w:rPr>
                <w:rFonts w:ascii="맑은 고딕" w:eastAsia="맑은 고딕" w:hAnsi="맑은 고딕"/>
                <w:color w:val="auto"/>
                <w:sz w:val="14"/>
                <w:szCs w:val="14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/ 제휴사 소개 메뉴 내)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개인정보를 제공받는 자의 이용 목적: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서비스 제공 및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동의 사실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통지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제공하는 개인정보의 항목: 성명, 생년월일, 연락처, 은행명, 예금주명, 계좌번호, 예금주 휴대전화번호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개인정보를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제공받는자의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개인정보 보유 및 이용기간: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동의일부터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의 종료일(해지일)까지. 단, 관계 법령에 의거 일정기간 동안 보관</w:t>
            </w:r>
          </w:p>
          <w:p>
            <w:pPr>
              <w:pStyle w:val="hs1"/>
              <w:ind w:left="295" w:hanging="283"/>
              <w:numPr>
                <w:ilvl w:val="0"/>
                <w:numId w:val="1"/>
              </w:numPr>
              <w:spacing w:line="200" w:lineRule="exact"/>
              <w:rPr>
                <w:rFonts w:ascii="맑은 고딕" w:eastAsia="맑은 고딕" w:hAnsi="맑은 고딕"/>
                <w:color w:val="auto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신청자는 개인정보에 대해 수납업체가 제 3자에 제공하는 것을 거부할 수 있습니다. 단, 거부 시 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>자동결제</w:t>
            </w:r>
            <w:r>
              <w:rPr>
                <w:rFonts w:ascii="맑은 고딕" w:eastAsia="맑은 고딕" w:hAnsi="맑은 고딕" w:hint="eastAsia"/>
                <w:color w:val="auto"/>
                <w:sz w:val="14"/>
                <w:szCs w:val="14"/>
              </w:rPr>
              <w:t xml:space="preserve"> 신청이 처리되지 않습니다</w:t>
            </w:r>
          </w:p>
          <w:p>
            <w:pPr>
              <w:jc w:val="right"/>
              <w:spacing w:line="240" w:lineRule="exact"/>
              <w:rPr>
                <w:rFonts w:ascii="맑은 고딕" w:eastAsia="맑은 고딕" w:hAnsi="맑은 고딕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b/>
                <w:sz w:val="16"/>
                <w:szCs w:val="14"/>
              </w:rPr>
              <w:t xml:space="preserve">동의함 </w:t>
            </w:r>
            <w:r>
              <w:rPr>
                <w:rFonts w:ascii="맑은 고딕" w:eastAsia="맑은 고딕" w:hAnsi="맑은 고딕" w:hint="eastAsia"/>
                <w:b/>
                <w:sz w:val="16"/>
                <w:szCs w:val="14"/>
              </w:rPr>
              <w:sym w:font="Wingdings 2" w:char="F0A3"/>
            </w:r>
            <w:r>
              <w:rPr>
                <w:rFonts w:ascii="맑은 고딕" w:eastAsia="맑은 고딕" w:hAnsi="맑은 고딕" w:hint="eastAsia"/>
                <w:b/>
                <w:sz w:val="16"/>
                <w:szCs w:val="14"/>
              </w:rPr>
              <w:t xml:space="preserve">      동의하지</w:t>
            </w:r>
            <w:r>
              <w:rPr>
                <w:rFonts w:ascii="맑은 고딕" w:eastAsia="맑은 고딕" w:hAnsi="맑은 고딕" w:hint="eastAsia"/>
                <w:b/>
                <w:sz w:val="16"/>
                <w:szCs w:val="14"/>
              </w:rPr>
              <w:t xml:space="preserve"> 않음 </w:t>
            </w:r>
            <w:r>
              <w:rPr>
                <w:rFonts w:ascii="맑은 고딕" w:eastAsia="맑은 고딕" w:hAnsi="맑은 고딕" w:hint="eastAsia"/>
                <w:b/>
                <w:sz w:val="16"/>
                <w:szCs w:val="14"/>
              </w:rPr>
              <w:sym w:font="Wingdings 2" w:char="F0A3"/>
            </w:r>
          </w:p>
        </w:tc>
      </w:tr>
      <w:tr>
        <w:trPr>
          <w:trHeight w:val="1992" w:hRule="atLeast"/>
        </w:trPr>
        <w:tc>
          <w:tcPr>
            <w:tcW w:w="10228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>
            <w:pPr>
              <w:wordWrap/>
              <w:jc w:val="left"/>
              <w:spacing w:line="200" w:lineRule="exact"/>
              <w:rPr>
                <w:rFonts w:ascii="맑은 고딕" w:eastAsia="맑은 고딕" w:hAnsi="맑은 고딕"/>
                <w:b/>
                <w:sz w:val="14"/>
              </w:rPr>
            </w:pPr>
            <w:r>
              <w:rPr>
                <w:rFonts w:ascii="맑은 고딕" w:eastAsia="맑은 고딕" w:hAnsi="맑은 고딕" w:hint="eastAsia"/>
                <w:b/>
                <w:sz w:val="12"/>
              </w:rPr>
              <w:t xml:space="preserve"># 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>자동결제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 xml:space="preserve"> 동의여부 통지 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>안내 :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 xml:space="preserve"> 효성에프엠에스㈜ 및 금융기관은 안전한 서비스의 제공을 위하여 예금주 휴대전화번호로 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>자동결제</w:t>
            </w:r>
            <w:r>
              <w:rPr>
                <w:rFonts w:ascii="맑은 고딕" w:eastAsia="맑은 고딕" w:hAnsi="맑은 고딕" w:hint="eastAsia"/>
                <w:b/>
                <w:sz w:val="12"/>
              </w:rPr>
              <w:t xml:space="preserve"> 동의 사실을 SMS(또는 LMS)로 통지합니다.</w:t>
            </w:r>
          </w:p>
          <w:p>
            <w:pPr>
              <w:wordWrap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신청인(예금주)은 신청정보, </w:t>
            </w:r>
            <w:r>
              <w:rPr>
                <w:rFonts w:ascii="맑은 고딕" w:eastAsia="맑은 고딕" w:hAnsi="맑은 고딕" w:hint="eastAsia"/>
                <w:b/>
              </w:rPr>
              <w:t>금융거래정보</w:t>
            </w:r>
            <w:r>
              <w:rPr>
                <w:rFonts w:ascii="맑은 고딕" w:eastAsia="맑은 고딕" w:hAnsi="맑은 고딕" w:hint="eastAsia"/>
                <w:b/>
              </w:rPr>
              <w:t xml:space="preserve"> 등</w:t>
            </w:r>
            <w:r>
              <w:rPr>
                <w:rFonts w:ascii="맑은 고딕" w:eastAsia="맑은 고딕" w:hAnsi="맑은 고딕" w:hint="eastAsia"/>
                <w:b/>
              </w:rPr>
              <w:t xml:space="preserve"> 개인정보의 수집·이용</w:t>
            </w:r>
            <w:r>
              <w:rPr>
                <w:rFonts w:ascii="맑은 고딕" w:eastAsia="맑은 고딕" w:hAnsi="맑은 고딕" w:hint="eastAsia"/>
                <w:b/>
              </w:rPr>
              <w:t xml:space="preserve"> 및</w:t>
            </w:r>
            <w:r>
              <w:rPr>
                <w:rFonts w:ascii="맑은 고딕" w:eastAsia="맑은 고딕" w:hAnsi="맑은 고딕" w:hint="eastAsia"/>
                <w:b/>
              </w:rPr>
              <w:t xml:space="preserve"> 제 3자 </w:t>
            </w:r>
            <w:r>
              <w:rPr>
                <w:rFonts w:ascii="맑은 고딕" w:eastAsia="맑은 고딕" w:hAnsi="맑은 고딕" w:hint="eastAsia"/>
                <w:b/>
              </w:rPr>
              <w:t xml:space="preserve">제공에 동의하며 </w:t>
            </w:r>
          </w:p>
          <w:p>
            <w:pPr>
              <w:wordWrap/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상기와 같이 효성CMS </w:t>
            </w:r>
            <w:r>
              <w:rPr>
                <w:rFonts w:ascii="맑은 고딕" w:eastAsia="맑은 고딕" w:hAnsi="맑은 고딕" w:hint="eastAsia"/>
                <w:b/>
              </w:rPr>
              <w:t>자동결제</w:t>
            </w:r>
            <w:r>
              <w:rPr>
                <w:rFonts w:ascii="맑은 고딕" w:eastAsia="맑은 고딕" w:hAnsi="맑은 고딕" w:hint="eastAsia"/>
                <w:b/>
              </w:rPr>
              <w:t xml:space="preserve">를 신청합니다. </w:t>
            </w:r>
          </w:p>
          <w:p>
            <w:pPr>
              <w:ind w:firstLineChars="5100" w:firstLine="8160"/>
              <w:wordWrap/>
              <w:spacing w:line="200" w:lineRule="exact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년      월      일</w:t>
            </w:r>
          </w:p>
          <w:p>
            <w:pPr>
              <w:ind w:firstLineChars="3700" w:firstLine="6660"/>
              <w:wordWrap/>
              <w:spacing w:line="200" w:lineRule="exact"/>
              <w:rPr>
                <w:rFonts w:ascii="맑은 고딕" w:eastAsia="맑은 고딕" w:hAnsi="맑은 고딕"/>
                <w:sz w:val="18"/>
              </w:rPr>
            </w:pPr>
          </w:p>
          <w:p>
            <w:pPr>
              <w:ind w:firstLineChars="3064" w:firstLine="6128"/>
              <w:wordWrap/>
              <w:spacing w:line="200" w:lineRule="exact"/>
              <w:rPr>
                <w:rFonts w:ascii="맑은 고딕" w:eastAsia="맑은 고딕" w:hAnsi="맑은 고딕"/>
                <w:sz w:val="10"/>
              </w:rPr>
            </w:pPr>
            <w:r>
              <w:rPr>
                <w:rFonts w:ascii="맑은 고딕" w:eastAsia="맑은 고딕" w:hAnsi="맑은 고딕" w:hint="eastAsia"/>
              </w:rPr>
              <w:t>신청인 :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                   </w:t>
            </w:r>
            <w:r>
              <w:rPr>
                <w:rFonts w:ascii="맑은 고딕" w:eastAsia="맑은 고딕" w:hAnsi="맑은 고딕" w:hint="eastAsia"/>
                <w:sz w:val="10"/>
              </w:rPr>
              <w:t>(인</w:t>
            </w:r>
            <w:r>
              <w:rPr>
                <w:rFonts w:ascii="맑은 고딕" w:eastAsia="맑은 고딕" w:hAnsi="맑은 고딕" w:hint="eastAsia"/>
                <w:sz w:val="10"/>
              </w:rPr>
              <w:t>) 또는 서명</w:t>
            </w:r>
          </w:p>
          <w:p>
            <w:pPr>
              <w:ind w:firstLineChars="3100" w:firstLine="3100"/>
              <w:wordWrap/>
              <w:spacing w:line="200" w:lineRule="exact"/>
              <w:rPr>
                <w:rFonts w:ascii="맑은 고딕" w:eastAsia="맑은 고딕" w:hAnsi="맑은 고딕"/>
                <w:sz w:val="10"/>
              </w:rPr>
            </w:pPr>
          </w:p>
          <w:p>
            <w:pPr>
              <w:ind w:firstLineChars="3100" w:firstLine="3100"/>
              <w:wordWrap/>
              <w:spacing w:line="200" w:lineRule="exact"/>
              <w:rPr>
                <w:rFonts w:ascii="맑은 고딕" w:eastAsia="맑은 고딕" w:hAnsi="맑은 고딕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sz w:val="10"/>
              </w:rPr>
              <w:t xml:space="preserve">                               (신청인과 예금주가 다를 경우) </w:t>
            </w:r>
            <w:r>
              <w:rPr>
                <w:rFonts w:ascii="맑은 고딕" w:eastAsia="맑은 고딕" w:hAnsi="맑은 고딕" w:hint="eastAsia"/>
              </w:rPr>
              <w:t>예금주 :</w:t>
            </w:r>
            <w:r>
              <w:rPr>
                <w:rFonts w:ascii="맑은 고딕" w:eastAsia="맑은 고딕" w:hAnsi="맑은 고딕" w:hint="eastAsia"/>
                <w:u w:val="single" w:color="auto"/>
              </w:rPr>
              <w:t xml:space="preserve">                     </w:t>
            </w:r>
            <w:r>
              <w:rPr>
                <w:rFonts w:ascii="맑은 고딕" w:eastAsia="맑은 고딕" w:hAnsi="맑은 고딕" w:hint="eastAsia"/>
                <w:sz w:val="10"/>
              </w:rPr>
              <w:t>(인)</w:t>
            </w:r>
            <w:r>
              <w:rPr>
                <w:rFonts w:ascii="맑은 고딕" w:eastAsia="맑은 고딕" w:hAnsi="맑은 고딕" w:hint="eastAsia"/>
                <w:sz w:val="10"/>
              </w:rPr>
              <w:t xml:space="preserve"> 또는 서명</w:t>
            </w:r>
          </w:p>
        </w:tc>
      </w:tr>
    </w:tbl>
    <w:p>
      <w:pPr>
        <w:pStyle w:val="hs1"/>
        <w:spacing w:before="100" w:line="200" w:lineRule="exact"/>
        <w:rPr>
          <w:rFonts w:ascii="맑은 고딕" w:eastAsia="맑은 고딕" w:hAnsi="맑은 고딕"/>
          <w:color w:val="auto"/>
          <w:sz w:val="14"/>
          <w:szCs w:val="14"/>
        </w:rPr>
      </w:pPr>
      <w:r>
        <w:rPr>
          <w:rFonts w:ascii="맑은 고딕" w:eastAsia="맑은 고딕" w:hAnsi="맑은 고딕" w:hint="eastAsia"/>
          <w:color w:val="auto"/>
          <w:sz w:val="14"/>
          <w:szCs w:val="14"/>
        </w:rPr>
        <w:t xml:space="preserve">1.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신청인과 결제자가 다른 경우 반드시 결제자의 별도 서명을 받아야 하며 인감 또는 서명은 결제정보의 사용인감 또는 서명을 사용해야 합니다.</w:t>
      </w:r>
    </w:p>
    <w:p>
      <w:pPr>
        <w:pStyle w:val="hs1"/>
        <w:spacing w:line="200" w:lineRule="exact"/>
        <w:rPr>
          <w:rFonts w:ascii="맑은 고딕" w:eastAsia="맑은 고딕" w:hAnsi="맑은 고딕"/>
          <w:color w:val="auto"/>
          <w:sz w:val="14"/>
          <w:szCs w:val="14"/>
        </w:rPr>
      </w:pPr>
      <w:r>
        <w:rPr>
          <w:rFonts w:ascii="맑은 고딕" w:eastAsia="맑은 고딕" w:hAnsi="맑은 고딕" w:hint="eastAsia"/>
          <w:color w:val="auto"/>
          <w:sz w:val="14"/>
          <w:szCs w:val="14"/>
        </w:rPr>
        <w:t>2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 xml:space="preserve">. 기존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신청내용을 변경하고자 하는 경우에는 자동결제 신청서를 신규로 작성하셔야 합니다.</w:t>
      </w:r>
    </w:p>
    <w:p>
      <w:pPr>
        <w:pStyle w:val="hs1"/>
        <w:ind w:left="1120" w:hangingChars="800" w:hanging="1120"/>
        <w:spacing w:line="200" w:lineRule="exact"/>
        <w:rPr>
          <w:rFonts w:ascii="맑은 고딕" w:eastAsia="맑은 고딕" w:hAnsi="맑은 고딕"/>
          <w:color w:val="auto"/>
          <w:sz w:val="14"/>
          <w:szCs w:val="14"/>
        </w:rPr>
      </w:pPr>
      <w:r>
        <w:rPr>
          <w:rFonts w:ascii="맑은 고딕" w:eastAsia="맑은 고딕" w:hAnsi="맑은 고딕"/>
          <w:color w:val="auto"/>
          <w:sz w:val="14"/>
          <w:szCs w:val="14"/>
        </w:rPr>
        <w:t>3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. 신청가능은행: 산업,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기업,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국민,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수협,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농협,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우리,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SC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씨티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아이엠뱅크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부산,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광주,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제주,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전북,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경남,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새마을,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신협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우체국,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하나,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신한,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유안타증권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삼성증권,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케이뱅크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카카오뱅크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,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토스뱅크</w:t>
      </w:r>
    </w:p>
    <w:p>
      <w:pPr>
        <w:pStyle w:val="hs1"/>
        <w:spacing w:line="200" w:lineRule="exact"/>
        <w:rPr>
          <w:rFonts w:ascii="맑은 고딕" w:eastAsia="맑은 고딕" w:hAnsi="맑은 고딕"/>
          <w:color w:val="auto"/>
          <w:sz w:val="14"/>
          <w:szCs w:val="14"/>
        </w:rPr>
      </w:pPr>
      <w:r>
        <w:rPr>
          <w:rFonts w:ascii="맑은 고딕" w:eastAsia="맑은 고딕" w:hAnsi="맑은 고딕" w:hint="eastAsia"/>
          <w:color w:val="auto"/>
          <w:sz w:val="14"/>
          <w:szCs w:val="14"/>
        </w:rPr>
        <w:t xml:space="preserve">4.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 xml:space="preserve">신청가능카드사 </w:t>
      </w:r>
      <w:r>
        <w:rPr>
          <w:rFonts w:ascii="맑은 고딕" w:eastAsia="맑은 고딕" w:hAnsi="맑은 고딕"/>
          <w:color w:val="auto"/>
          <w:sz w:val="14"/>
          <w:szCs w:val="14"/>
        </w:rPr>
        <w:t>: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국내외 전 카드사 이용가능.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단,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선불카드,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공무원복지카드,</w:t>
      </w:r>
      <w:r>
        <w:rPr>
          <w:rFonts w:ascii="맑은 고딕" w:eastAsia="맑은 고딕" w:hAnsi="맑은 고딕"/>
          <w:color w:val="auto"/>
          <w:sz w:val="14"/>
          <w:szCs w:val="14"/>
        </w:rPr>
        <w:t xml:space="preserve"> </w:t>
      </w:r>
      <w:r>
        <w:rPr>
          <w:rFonts w:ascii="맑은 고딕" w:eastAsia="맑은 고딕" w:hAnsi="맑은 고딕" w:hint="eastAsia"/>
          <w:color w:val="auto"/>
          <w:sz w:val="14"/>
          <w:szCs w:val="14"/>
        </w:rPr>
        <w:t>무기명법인카드는 사용불가</w:t>
      </w:r>
    </w:p>
    <w:sectPr>
      <w:pgSz w:w="11906" w:h="16838"/>
      <w:pgMar w:top="567" w:right="851" w:bottom="284" w:left="851" w:header="0" w:footer="850" w:gutter="0"/>
      <w:cols/>
      <w:docGrid w:linePitch="360" w:type="lines"/>
      <w:headerReference w:type="even" r:id="rId1"/>
      <w:footerReference w:type="even" r:id="rId2"/>
      <w:footerReference w:type="default" r:id="rId3"/>
      <w:footerReference w:type="first" r:id="rId4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나눔손글씨 펜">
    <w:panose1 w:val="03040600000000000000"/>
    <w:family w:val="script"/>
    <w:charset w:val="81"/>
    <w:notTrueType w:val="false"/>
    <w:sig w:usb0="800002A7" w:usb1="01D7FCFB" w:usb2="00000010" w:usb3="00000001" w:csb0="00080001" w:csb1="00000001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바탕체">
    <w:panose1 w:val="02030609000101010101"/>
    <w:family w:val="roman"/>
    <w:charset w:val="81"/>
    <w:notTrueType w:val="false"/>
    <w:sig w:usb0="B00002AF" w:usb1="69D77CFB" w:usb2="00000030" w:usb3="00000001" w:csb0="4008009F" w:csb1="DFD70000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7"/>
      <w:jc w:val="right"/>
      <w:rPr>
        <w:rFonts w:ascii="맑은 고딕" w:eastAsia="맑은 고딕" w:hAnsi="맑은 고딕"/>
        <w:sz w:val="16"/>
      </w:rPr>
    </w:pPr>
    <w:sdt>
      <w:sdtPr>
        <w:rPr>
          <w:rFonts w:ascii="맑은 고딕" w:eastAsia="맑은 고딕" w:hAnsi="맑은 고딕"/>
          <w:sz w:val="16"/>
        </w:rPr>
        <w:id w:val="0"/>
        <w:placeholder>
          <w:docPart w:val="08747F3F78A44E03B8F13860CF98E30C"/>
        </w:placeholder>
        <w:temporary/>
        <w:showingPlcHdr/>
      </w:sdtPr>
      <w:sdtContent>
        <w:r>
          <w:rPr>
            <w:lang w:val="ko-KR"/>
            <w:rFonts w:ascii="맑은 고딕" w:eastAsia="맑은 고딕" w:hAnsi="맑은 고딕"/>
            <w:sz w:val="16"/>
          </w:rPr>
          <w:t>[여기에 입력]</w:t>
        </w:r>
      </w:sdtContent>
    </w:sdt>
    <w:r>
      <w:rPr>
        <w:rFonts w:ascii="맑은 고딕" w:eastAsia="맑은 고딕" w:hAnsi="맑은 고딕"/>
        <w:sz w:val="16"/>
      </w:rPr>
      <w:ptab w:relativeTo="margin" w:alignment="center" w:leader="none"/>
    </w:r>
    <w:sdt>
      <w:sdtPr>
        <w:rPr>
          <w:rFonts w:ascii="맑은 고딕" w:eastAsia="맑은 고딕" w:hAnsi="맑은 고딕"/>
          <w:sz w:val="16"/>
        </w:rPr>
        <w:id w:val="0"/>
        <w:placeholder>
          <w:docPart w:val="08747F3F78A44E03B8F13860CF98E30C"/>
        </w:placeholder>
        <w:temporary/>
        <w:showingPlcHdr/>
      </w:sdtPr>
      <w:sdtContent>
        <w:r>
          <w:rPr>
            <w:lang w:val="ko-KR"/>
            <w:rFonts w:ascii="맑은 고딕" w:eastAsia="맑은 고딕" w:hAnsi="맑은 고딕"/>
            <w:sz w:val="16"/>
          </w:rPr>
          <w:t>[여기에 입력]</w:t>
        </w:r>
      </w:sdtContent>
    </w:sdt>
    <w:r>
      <w:rPr>
        <w:rFonts w:ascii="맑은 고딕" w:eastAsia="맑은 고딕" w:hAnsi="맑은 고딕"/>
        <w:sz w:val="16"/>
      </w:rPr>
      <w:ptab w:relativeTo="margin" w:alignment="right" w:leader="none"/>
    </w:r>
    <w:sdt>
      <w:sdtPr>
        <w:rPr>
          <w:rFonts w:ascii="맑은 고딕" w:eastAsia="맑은 고딕" w:hAnsi="맑은 고딕"/>
          <w:sz w:val="16"/>
        </w:rPr>
        <w:id w:val="0"/>
        <w:placeholder>
          <w:docPart w:val="08747F3F78A44E03B8F13860CF98E30C"/>
        </w:placeholder>
        <w:temporary/>
        <w:showingPlcHdr/>
      </w:sdtPr>
      <w:sdtContent>
        <w:r>
          <w:rPr>
            <w:lang w:val="ko-KR"/>
            <w:rFonts w:ascii="맑은 고딕" w:eastAsia="맑은 고딕" w:hAnsi="맑은 고딕"/>
            <w:sz w:val="16"/>
          </w:rPr>
          <w:t>[여기에 입력]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7"/>
      <w:ind w:firstLineChars="100" w:firstLine="160"/>
      <w:rPr>
        <w:rFonts w:asciiTheme="minorEastAsia" w:eastAsiaTheme="minorEastAsia" w:hAnsiTheme="minorEastAsia"/>
        <w:color w:val="BFBFBF"/>
        <w:sz w:val="16"/>
      </w:rPr>
    </w:pPr>
    <w:r>
      <w:rPr>
        <w:rFonts w:asciiTheme="minorEastAsia" w:eastAsiaTheme="minorEastAsia" w:hAnsiTheme="minorEastAsia"/>
        <w:color w:val="BFBFBF"/>
        <w:sz w:val="16"/>
      </w:rPr>
      <w:t xml:space="preserve">Copy right 2024 </w:t>
    </w:r>
    <w:r>
      <w:rPr>
        <w:rFonts w:asciiTheme="minorEastAsia" w:eastAsiaTheme="minorEastAsia" w:hAnsiTheme="minorEastAsia"/>
        <w:color w:val="BFBFBF"/>
        <w:sz w:val="16"/>
      </w:rPr>
      <w:t xml:space="preserve">Hyosung FMS Inc. </w:t>
    </w:r>
    <w:r>
      <w:rPr>
        <w:rFonts w:asciiTheme="minorEastAsia" w:eastAsiaTheme="minorEastAsia" w:hAnsiTheme="minorEastAsia"/>
        <w:color w:val="BFBFBF"/>
        <w:sz w:val="16"/>
      </w:rPr>
      <w:t>All rights reserved</w:t>
    </w:r>
    <w:r>
      <w:rPr>
        <w:rFonts w:asciiTheme="minorEastAsia" w:eastAsiaTheme="minorEastAsia" w:hAnsiTheme="minorEastAsia"/>
        <w:color w:val="BFBFBF"/>
        <w:sz w:val="16"/>
      </w:rPr>
      <w:ptab w:relativeTo="margin" w:alignment="center" w:leader="none"/>
    </w:r>
    <w:r>
      <w:rPr>
        <w:rFonts w:asciiTheme="minorEastAsia" w:eastAsiaTheme="minorEastAsia" w:hAnsiTheme="minorEastAsia"/>
        <w:color w:val="BFBFBF"/>
        <w:sz w:val="16"/>
      </w:rPr>
      <w:ptab w:relativeTo="margin" w:alignment="right" w:leader="none"/>
    </w:r>
    <w:r>
      <w:rPr>
        <w:rFonts w:asciiTheme="minorEastAsia" w:eastAsiaTheme="minorEastAsia" w:hAnsiTheme="minorEastAsia"/>
        <w:color w:val="BFBFBF"/>
        <w:sz w:val="16"/>
      </w:rPr>
      <w:t xml:space="preserve">표준 동의서(시행일자 </w:t>
    </w:r>
    <w:r>
      <w:rPr>
        <w:rFonts w:asciiTheme="minorEastAsia" w:eastAsiaTheme="minorEastAsia" w:hAnsiTheme="minorEastAsia"/>
        <w:color w:val="BFBFBF"/>
        <w:sz w:val="16"/>
      </w:rPr>
      <w:t>2024.06.05</w:t>
    </w:r>
    <w:r>
      <w:rPr>
        <w:rFonts w:asciiTheme="minorEastAsia" w:eastAsiaTheme="minorEastAsia" w:hAnsiTheme="minorEastAsia"/>
        <w:color w:val="BFBFBF"/>
        <w:sz w:val="16"/>
      </w:rPr>
      <w:t>)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b106a0a"/>
    <w:multiLevelType w:val="hybridMultilevel"/>
    <w:tmpl w:val="c28acde6"/>
    <w:lvl w:ilvl="0" w:tplc="ab961726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204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0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153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 w:uiPriority="153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</w:latentStyles>
  <w:style w:type="paragraph" w:default="1" w:styleId="a">
    <w:name w:val="Normal"/>
    <w:qFormat/>
    <w:pPr>
      <w:adjustRightInd/>
      <w:autoSpaceDE w:val="off"/>
      <w:autoSpaceDN w:val="off"/>
      <w:widowControl w:val="off"/>
      <w:wordWrap w:val="off"/>
      <w:jc w:val="both"/>
      <w:textAlignment w:val="baseline"/>
    </w:pPr>
    <w:rPr>
      <w:rFonts w:ascii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 (Web)"/>
    <w:basedOn w:val="a"/>
    <w:pPr>
      <w:adjustRightInd/>
      <w:autoSpaceDE/>
      <w:autoSpaceDN/>
      <w:widowControl/>
      <w:wordWrap/>
      <w:jc w:val="left"/>
      <w:spacing w:after="100" w:afterAutospacing="1" w:before="100" w:beforeAutospacing="1"/>
      <w:textAlignment w:val="auto"/>
    </w:pPr>
    <w:rPr>
      <w:rFonts w:ascii="굴림" w:eastAsia="굴림" w:hAnsi="굴림" w:cs="굴림"/>
      <w:sz w:val="24"/>
      <w:szCs w:val="24"/>
      <w:kern w:val="0"/>
    </w:rPr>
  </w:style>
  <w:style w:type="paragraph" w:customStyle="1" w:styleId="hs1">
    <w:name w:val="hs1"/>
    <w:basedOn w:val="a"/>
    <w:pPr>
      <w:adjustRightInd/>
      <w:autoSpaceDE/>
      <w:autoSpaceDN/>
      <w:widowControl/>
      <w:wordWrap/>
      <w:spacing w:line="200" w:lineRule="atLeast"/>
      <w:textAlignment w:val="auto"/>
    </w:pPr>
    <w:rPr>
      <w:rFonts w:hAnsi="바탕" w:cs="굴림"/>
      <w:color w:val="000000"/>
      <w:kern w:val="0"/>
    </w:rPr>
  </w:style>
  <w:style w:type="table" w:customStyle="1" w:styleId="a4">
    <w:name w:val="Table Grid"/>
    <w:basedOn w:val="a1"/>
    <w:pPr>
      <w:adjustRightInd/>
      <w:autoSpaceDE w:val="off"/>
      <w:autoSpaceDN w:val="off"/>
      <w:widowControl w:val="off"/>
      <w:wordWrap w:val="off"/>
      <w:jc w:val="both"/>
      <w:textAlignment w:val="baseline"/>
    </w:pPr>
    <w:rPr>
      <w:rFonts w:eastAsia="바탕체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Balloon Text"/>
    <w:basedOn w:val="a"/>
    <w:semiHidden/>
    <w:rPr>
      <w:rFonts w:ascii="Arial" w:eastAsia="돋움" w:hAnsi="Arial"/>
      <w:sz w:val="18"/>
      <w:szCs w:val="18"/>
    </w:rPr>
  </w:style>
  <w:style w:type="paragraph" w:customStyle="1" w:styleId="a6">
    <w:name w:val="header"/>
    <w:basedOn w:val="a"/>
    <w:link w:val="Char"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link w:val="a6"/>
    <w:rPr>
      <w:rFonts w:ascii="바탕"/>
      <w:kern w:val="2"/>
    </w:rPr>
  </w:style>
  <w:style w:type="paragraph" w:customStyle="1" w:styleId="a7">
    <w:name w:val="footer"/>
    <w:basedOn w:val="a"/>
    <w:link w:val="Char0"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link w:val="a7"/>
    <w:rPr>
      <w:rFonts w:ascii="바탕"/>
      <w:kern w:val="2"/>
    </w:rPr>
  </w:style>
  <w:style w:type="paragraph" w:customStyle="1" w:styleId="a8">
    <w:name w:val="endnote text"/>
    <w:basedOn w:val="a"/>
    <w:link w:val="Char1"/>
    <w:pPr>
      <w:snapToGrid w:val="0"/>
      <w:jc w:val="left"/>
    </w:pPr>
  </w:style>
  <w:style w:type="character" w:customStyle="1" w:styleId="Char1">
    <w:name w:val="미주 텍스트 Char"/>
    <w:link w:val="a8"/>
    <w:rPr>
      <w:rFonts w:ascii="바탕"/>
      <w:kern w:val="2"/>
    </w:rPr>
  </w:style>
  <w:style w:type="character" w:customStyle="1" w:styleId="a9">
    <w:name w:val="endnote reference"/>
    <w:rPr>
      <w:vertAlign w:val="superscript"/>
    </w:rPr>
  </w:style>
  <w:style w:type="paragraph" w:customStyle="1" w:styleId="aa">
    <w:name w:val="footnote text"/>
    <w:basedOn w:val="a"/>
    <w:link w:val="Char2"/>
    <w:pPr>
      <w:snapToGrid w:val="0"/>
      <w:jc w:val="left"/>
    </w:pPr>
  </w:style>
  <w:style w:type="character" w:customStyle="1" w:styleId="Char2">
    <w:name w:val="각주 텍스트 Char"/>
    <w:link w:val="aa"/>
    <w:rPr>
      <w:rFonts w:ascii="바탕"/>
      <w:kern w:val="2"/>
    </w:rPr>
  </w:style>
  <w:style w:type="character" w:customStyle="1" w:styleId="ab">
    <w:name w:val="footnote reference"/>
    <w:rPr>
      <w:vertAlign w:val="superscript"/>
    </w:rPr>
  </w:style>
  <w:style w:type="character" w:customStyle="1" w:styleId="ac">
    <w:name w:val="Hyperlink"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footer" Target="footer2.xml" /><Relationship Id="rId4" Type="http://schemas.openxmlformats.org/officeDocument/2006/relationships/footer" Target="footer3.xml" /><Relationship Id="rId5" Type="http://schemas.openxmlformats.org/officeDocument/2006/relationships/styles" Target="styles.xml" /><Relationship Id="rId6" Type="http://schemas.openxmlformats.org/officeDocument/2006/relationships/settings" Target="settings.xml" /><Relationship Id="rId7" Type="http://schemas.openxmlformats.org/officeDocument/2006/relationships/fontTable" Target="fontTable.xml" /><Relationship Id="rId8" Type="http://schemas.openxmlformats.org/officeDocument/2006/relationships/webSettings" Target="webSettings.xml" /><Relationship Id="rId9" Type="http://schemas.openxmlformats.org/officeDocument/2006/relationships/numbering" Target="numbering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Parts>
    <w:docPart>
      <w:docPartPr>
        <w:name w:val="08747F3F78A44E03B8F13860CF98E30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08747F3F78A44E03B8F13860CF98E30C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5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62DA49AD5D44F19F1A842128F2C7BA">
    <w:name w:val="C562DA49AD5D44F19F1A842128F2C7BA"/>
    <w:pPr>
      <w:autoSpaceDE w:val="off"/>
      <w:autoSpaceDN w:val="off"/>
      <w:widowControl w:val="off"/>
      <w:wordWrap w:val="off"/>
    </w:pPr>
  </w:style>
  <w:style w:type="paragraph" w:customStyle="1" w:styleId="DB3BA6410E574D7E99C2C55D4E79A3A0">
    <w:name w:val="DB3BA6410E574D7E99C2C55D4E79A3A0"/>
    <w:pPr>
      <w:autoSpaceDE w:val="off"/>
      <w:autoSpaceDN w:val="off"/>
      <w:widowControl w:val="off"/>
      <w:wordWrap w:val="off"/>
    </w:pPr>
  </w:style>
  <w:style w:type="paragraph" w:customStyle="1" w:styleId="08747F3F78A44E03B8F13860CF98E30C">
    <w:name w:val="08747F3F78A44E03B8F13860CF98E30C"/>
    <w:pPr>
      <w:autoSpaceDE w:val="off"/>
      <w:autoSpaceDN w:val="off"/>
      <w:widowControl w:val="off"/>
      <w:wordWrap w:val="off"/>
    </w:pPr>
  </w:style>
  <w:style w:type="paragraph" w:customStyle="1" w:styleId="965D93B1E056472AA999F9E95E78ACF4">
    <w:name w:val="965D93B1E056472AA999F9E95E78ACF4"/>
    <w:pPr>
      <w:autoSpaceDE w:val="off"/>
      <w:autoSpaceDN w:val="off"/>
      <w:widowControl w:val="off"/>
      <w:wordWrap w:val="off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NAUTILUS HYOSUNG INC.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CMS출금이체 신청서</dc:title>
  <dc:subject>WizCMS</dc:subject>
  <dc:creator>user</dc:creator>
  <cp:keywords/>
  <dc:description/>
  <cp:lastModifiedBy>지리산</cp:lastModifiedBy>
  <cp:revision>1</cp:revision>
  <dcterms:created xsi:type="dcterms:W3CDTF">2023-09-07T06:57:00Z</dcterms:created>
  <dcterms:modified xsi:type="dcterms:W3CDTF">2025-09-23T06:31:30Z</dcterms:modified>
  <cp:lastPrinted>2025-09-23T15:27:35Z</cp:lastPrinted>
  <cp:version>1100.0100.01</cp:version>
</cp:coreProperties>
</file>